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B6F9" w14:textId="77777777" w:rsidR="00597AE6" w:rsidRPr="00597AE6" w:rsidRDefault="00597AE6" w:rsidP="00597AE6">
      <w:pPr>
        <w:rPr>
          <w:sz w:val="40"/>
          <w:szCs w:val="40"/>
          <w:rtl/>
        </w:rPr>
      </w:pPr>
    </w:p>
    <w:p w14:paraId="46256FFF" w14:textId="78D56483" w:rsidR="00597AE6" w:rsidRPr="00597AE6" w:rsidRDefault="00597AE6" w:rsidP="00597AE6">
      <w:pPr>
        <w:rPr>
          <w:b/>
          <w:bCs/>
          <w:sz w:val="40"/>
          <w:szCs w:val="40"/>
          <w:rtl/>
        </w:rPr>
      </w:pPr>
      <w:r w:rsidRPr="00597AE6">
        <w:rPr>
          <w:rFonts w:cs="Arial"/>
          <w:b/>
          <w:bCs/>
          <w:sz w:val="40"/>
          <w:szCs w:val="40"/>
          <w:rtl/>
        </w:rPr>
        <w:t>اسس تسجيل أسهم رأسمال الشركات المساهمة العامة التي تتقدم للهيئة بطلبات تسجيل ولم تستوف متطلبات تسجيل أسهم رأس المال المنصوص عليها في تعليمات اصدار الأوراق المالية وتسجيلها</w:t>
      </w:r>
      <w:r>
        <w:rPr>
          <w:rFonts w:cs="Arial" w:hint="cs"/>
          <w:b/>
          <w:bCs/>
          <w:sz w:val="40"/>
          <w:szCs w:val="40"/>
          <w:rtl/>
        </w:rPr>
        <w:t xml:space="preserve"> -لسنة 2019</w:t>
      </w:r>
      <w:r w:rsidRPr="00597AE6">
        <w:rPr>
          <w:rFonts w:cs="Arial"/>
          <w:b/>
          <w:bCs/>
          <w:sz w:val="40"/>
          <w:szCs w:val="40"/>
          <w:rtl/>
        </w:rPr>
        <w:t>.</w:t>
      </w:r>
    </w:p>
    <w:p w14:paraId="1A82588D" w14:textId="2D7DE1CA" w:rsidR="00597AE6" w:rsidRPr="00597AE6" w:rsidRDefault="00597AE6" w:rsidP="00597AE6">
      <w:pPr>
        <w:rPr>
          <w:sz w:val="40"/>
          <w:szCs w:val="40"/>
          <w:rtl/>
        </w:rPr>
      </w:pPr>
      <w:r w:rsidRPr="00597AE6">
        <w:rPr>
          <w:rFonts w:cs="Arial"/>
          <w:sz w:val="40"/>
          <w:szCs w:val="40"/>
          <w:rtl/>
        </w:rPr>
        <w:t xml:space="preserve">أولاً </w:t>
      </w:r>
      <w:r>
        <w:rPr>
          <w:rFonts w:cs="Arial" w:hint="cs"/>
          <w:sz w:val="40"/>
          <w:szCs w:val="40"/>
          <w:rtl/>
        </w:rPr>
        <w:t>-</w:t>
      </w:r>
      <w:r w:rsidRPr="00597AE6">
        <w:rPr>
          <w:rFonts w:cs="Arial"/>
          <w:sz w:val="40"/>
          <w:szCs w:val="40"/>
          <w:rtl/>
        </w:rPr>
        <w:t>الموافقة على تسجيل أسهم رأسمال الشركات المساهمة العامة التي تتقدم للهيئة بطلبات تسجيل ولم تستوف متطلبات تسجيل أسهم رأس المال المنصوص عليها في تعليمات اصدار الأوراق المالية وتسجيلها شريطة ما يلي :-</w:t>
      </w:r>
    </w:p>
    <w:p w14:paraId="6235F774" w14:textId="4B62FA6D" w:rsidR="00597AE6" w:rsidRPr="00597AE6" w:rsidRDefault="00597AE6" w:rsidP="00597AE6">
      <w:pPr>
        <w:pStyle w:val="ListParagraph"/>
        <w:numPr>
          <w:ilvl w:val="0"/>
          <w:numId w:val="1"/>
        </w:numPr>
        <w:rPr>
          <w:rFonts w:cs="Arial"/>
          <w:sz w:val="40"/>
          <w:szCs w:val="40"/>
          <w:rtl/>
        </w:rPr>
      </w:pPr>
      <w:r w:rsidRPr="00597AE6">
        <w:rPr>
          <w:rFonts w:cs="Arial"/>
          <w:sz w:val="40"/>
          <w:szCs w:val="40"/>
          <w:rtl/>
        </w:rPr>
        <w:t>عدم ادراج وتداول أسهم هذه الشركات لدى بورصة عمان.</w:t>
      </w:r>
    </w:p>
    <w:p w14:paraId="03458696" w14:textId="77777777" w:rsidR="00597AE6" w:rsidRPr="00597AE6" w:rsidRDefault="00597AE6" w:rsidP="00597AE6">
      <w:pPr>
        <w:pStyle w:val="ListParagraph"/>
        <w:numPr>
          <w:ilvl w:val="0"/>
          <w:numId w:val="1"/>
        </w:numPr>
        <w:rPr>
          <w:sz w:val="40"/>
          <w:szCs w:val="40"/>
        </w:rPr>
      </w:pPr>
      <w:r w:rsidRPr="00597AE6">
        <w:rPr>
          <w:rFonts w:cs="Arial"/>
          <w:sz w:val="40"/>
          <w:szCs w:val="40"/>
          <w:rtl/>
        </w:rPr>
        <w:t>حظر التعامل بأسهم رأسمال الشركة بعد تسجيلها وايداعها لدى مركز ابداع الأوراق المالية ولحين توفيق أوضاعها واستيفاء كافة المتطلبات المقررة لغايات اتاحة اسهمها للتداول في السوق المالي وفقاً لاحكام تعليمات اصدار الاوراق المالية وتسجيلها النافذة والتعليمات الصادرة عن الهيئة.</w:t>
      </w:r>
    </w:p>
    <w:p w14:paraId="266DF1E5" w14:textId="77777777" w:rsidR="00597AE6" w:rsidRPr="00597AE6" w:rsidRDefault="00597AE6" w:rsidP="00597AE6">
      <w:pPr>
        <w:pStyle w:val="ListParagraph"/>
        <w:numPr>
          <w:ilvl w:val="0"/>
          <w:numId w:val="1"/>
        </w:numPr>
        <w:rPr>
          <w:sz w:val="40"/>
          <w:szCs w:val="40"/>
        </w:rPr>
      </w:pPr>
      <w:r w:rsidRPr="00597AE6">
        <w:rPr>
          <w:rFonts w:cs="Arial"/>
          <w:sz w:val="40"/>
          <w:szCs w:val="40"/>
          <w:rtl/>
        </w:rPr>
        <w:t>عدم اجراء أية زيادات على رأسمال الشركة قبل توفيق الأوضاع واستيفاء كافة المتطلبات المقررة لغايات اتاحة اسهمها للتداول في السوق وفقاً لاحكام تعليمات</w:t>
      </w:r>
      <w:r>
        <w:rPr>
          <w:rFonts w:cs="Arial" w:hint="cs"/>
          <w:sz w:val="40"/>
          <w:szCs w:val="40"/>
          <w:rtl/>
        </w:rPr>
        <w:t xml:space="preserve"> </w:t>
      </w:r>
      <w:r w:rsidRPr="00597AE6">
        <w:rPr>
          <w:rFonts w:cs="Arial"/>
          <w:sz w:val="40"/>
          <w:szCs w:val="40"/>
          <w:rtl/>
        </w:rPr>
        <w:t>اصدار الأوراق المالية وتسجيلها النافذة والتعليمات الصادرة عن الهيئة.</w:t>
      </w:r>
    </w:p>
    <w:p w14:paraId="61D09C0A" w14:textId="721839CA" w:rsidR="00597AE6" w:rsidRPr="00597AE6" w:rsidRDefault="00597AE6" w:rsidP="00597AE6">
      <w:pPr>
        <w:ind w:left="360"/>
        <w:rPr>
          <w:sz w:val="40"/>
          <w:szCs w:val="40"/>
          <w:rtl/>
        </w:rPr>
      </w:pPr>
      <w:r w:rsidRPr="00597AE6">
        <w:rPr>
          <w:rFonts w:cs="Arial"/>
          <w:sz w:val="40"/>
          <w:szCs w:val="40"/>
          <w:rtl/>
        </w:rPr>
        <w:t>4. السماح باجراء التحويلات التالية حصراً على اسهم راسمال الشركة لدى مركز ايداع الأوراق المالية بالحالات التالية :-</w:t>
      </w:r>
    </w:p>
    <w:p w14:paraId="4539BC5A" w14:textId="3A474AA8" w:rsidR="00597AE6" w:rsidRPr="00597AE6" w:rsidRDefault="00597AE6" w:rsidP="00597AE6">
      <w:pPr>
        <w:rPr>
          <w:sz w:val="40"/>
          <w:szCs w:val="40"/>
          <w:rtl/>
        </w:rPr>
      </w:pPr>
      <w:r w:rsidRPr="00597AE6">
        <w:rPr>
          <w:rFonts w:cs="Arial"/>
          <w:sz w:val="40"/>
          <w:szCs w:val="40"/>
          <w:rtl/>
        </w:rPr>
        <w:t>أ- التحويلات الارثية والتي تشمل تحويل الاوراق المالية من حساب المتوفى</w:t>
      </w:r>
      <w:r>
        <w:rPr>
          <w:rFonts w:hint="cs"/>
          <w:sz w:val="40"/>
          <w:szCs w:val="40"/>
          <w:rtl/>
        </w:rPr>
        <w:t xml:space="preserve"> </w:t>
      </w:r>
      <w:r w:rsidRPr="00597AE6">
        <w:rPr>
          <w:rFonts w:cs="Arial"/>
          <w:sz w:val="40"/>
          <w:szCs w:val="40"/>
          <w:rtl/>
        </w:rPr>
        <w:t>لحساب ورثته الشرعيين.</w:t>
      </w:r>
    </w:p>
    <w:p w14:paraId="12658974" w14:textId="2AA19236" w:rsidR="009744FE" w:rsidRDefault="00597AE6" w:rsidP="00597AE6">
      <w:pPr>
        <w:rPr>
          <w:sz w:val="40"/>
          <w:szCs w:val="40"/>
          <w:rtl/>
        </w:rPr>
      </w:pPr>
      <w:r w:rsidRPr="00597AE6">
        <w:rPr>
          <w:rFonts w:cs="Arial"/>
          <w:sz w:val="40"/>
          <w:szCs w:val="40"/>
          <w:rtl/>
        </w:rPr>
        <w:t>ب</w:t>
      </w:r>
      <w:r>
        <w:rPr>
          <w:rFonts w:cs="Arial" w:hint="cs"/>
          <w:sz w:val="40"/>
          <w:szCs w:val="40"/>
          <w:rtl/>
        </w:rPr>
        <w:t>-</w:t>
      </w:r>
      <w:r w:rsidRPr="00597AE6">
        <w:rPr>
          <w:rFonts w:cs="Arial"/>
          <w:sz w:val="40"/>
          <w:szCs w:val="40"/>
          <w:rtl/>
        </w:rPr>
        <w:t xml:space="preserve"> التحويلات التي تتم تنفيذاً لقرا</w:t>
      </w:r>
      <w:r>
        <w:rPr>
          <w:rFonts w:cs="Arial" w:hint="cs"/>
          <w:sz w:val="40"/>
          <w:szCs w:val="40"/>
          <w:rtl/>
        </w:rPr>
        <w:t>رات</w:t>
      </w:r>
      <w:r>
        <w:rPr>
          <w:rFonts w:hint="cs"/>
          <w:sz w:val="40"/>
          <w:szCs w:val="40"/>
          <w:rtl/>
        </w:rPr>
        <w:t xml:space="preserve"> </w:t>
      </w:r>
      <w:r w:rsidRPr="00597AE6">
        <w:rPr>
          <w:rFonts w:cs="Arial"/>
          <w:sz w:val="40"/>
          <w:szCs w:val="40"/>
          <w:rtl/>
        </w:rPr>
        <w:t>المحاكم ودوائر التنفيذ.</w:t>
      </w:r>
    </w:p>
    <w:p w14:paraId="5D0F252E" w14:textId="77777777" w:rsidR="00597AE6" w:rsidRPr="00597AE6" w:rsidRDefault="00597AE6" w:rsidP="00597AE6">
      <w:pPr>
        <w:rPr>
          <w:sz w:val="40"/>
          <w:szCs w:val="40"/>
          <w:rtl/>
        </w:rPr>
      </w:pPr>
    </w:p>
    <w:p w14:paraId="2912395E" w14:textId="084E348D" w:rsidR="00597AE6" w:rsidRPr="00597AE6" w:rsidRDefault="00597AE6" w:rsidP="00597AE6">
      <w:pPr>
        <w:rPr>
          <w:sz w:val="40"/>
          <w:szCs w:val="40"/>
          <w:rtl/>
        </w:rPr>
      </w:pPr>
      <w:r w:rsidRPr="00597AE6">
        <w:rPr>
          <w:rFonts w:cs="Arial"/>
          <w:sz w:val="40"/>
          <w:szCs w:val="40"/>
          <w:rtl/>
        </w:rPr>
        <w:t xml:space="preserve">ثانياً </w:t>
      </w:r>
      <w:r>
        <w:rPr>
          <w:rFonts w:cs="Arial" w:hint="cs"/>
          <w:sz w:val="40"/>
          <w:szCs w:val="40"/>
          <w:rtl/>
        </w:rPr>
        <w:t>-</w:t>
      </w:r>
      <w:r w:rsidRPr="00597AE6">
        <w:rPr>
          <w:rFonts w:cs="Arial"/>
          <w:sz w:val="40"/>
          <w:szCs w:val="40"/>
          <w:rtl/>
        </w:rPr>
        <w:t>متطلبات تسجيل الأسهم لدى الهيئة :-</w:t>
      </w:r>
    </w:p>
    <w:p w14:paraId="627F26FD" w14:textId="77777777" w:rsidR="00597AE6" w:rsidRDefault="00597AE6" w:rsidP="00597AE6">
      <w:pPr>
        <w:rPr>
          <w:rFonts w:cs="Arial"/>
          <w:sz w:val="40"/>
          <w:szCs w:val="40"/>
          <w:rtl/>
        </w:rPr>
      </w:pPr>
      <w:r w:rsidRPr="00597AE6">
        <w:rPr>
          <w:rFonts w:cs="Arial"/>
          <w:sz w:val="40"/>
          <w:szCs w:val="40"/>
          <w:rtl/>
        </w:rPr>
        <w:t>أ. شهادة تسجيل الشركة الصادرة عن دائرة مراقبة الشركات.</w:t>
      </w:r>
    </w:p>
    <w:p w14:paraId="3B2F94F4" w14:textId="17BC5E67" w:rsidR="00597AE6" w:rsidRPr="00597AE6" w:rsidRDefault="00597AE6" w:rsidP="00597AE6">
      <w:pPr>
        <w:rPr>
          <w:sz w:val="40"/>
          <w:szCs w:val="40"/>
          <w:rtl/>
        </w:rPr>
      </w:pPr>
      <w:r w:rsidRPr="00597AE6">
        <w:rPr>
          <w:rFonts w:cs="Arial"/>
          <w:sz w:val="40"/>
          <w:szCs w:val="40"/>
          <w:rtl/>
        </w:rPr>
        <w:t>ب. عقد التاسيس والنظام الاساسي للشركة.</w:t>
      </w:r>
    </w:p>
    <w:p w14:paraId="7057BA52" w14:textId="77777777" w:rsidR="00597AE6" w:rsidRDefault="00597AE6" w:rsidP="00597AE6">
      <w:pPr>
        <w:rPr>
          <w:rFonts w:cs="Arial"/>
          <w:sz w:val="40"/>
          <w:szCs w:val="40"/>
          <w:rtl/>
        </w:rPr>
      </w:pPr>
      <w:r w:rsidRPr="00597AE6">
        <w:rPr>
          <w:rFonts w:cs="Arial"/>
          <w:sz w:val="40"/>
          <w:szCs w:val="40"/>
          <w:rtl/>
        </w:rPr>
        <w:t>ج</w:t>
      </w:r>
      <w:r>
        <w:rPr>
          <w:rFonts w:cs="Arial" w:hint="cs"/>
          <w:sz w:val="40"/>
          <w:szCs w:val="40"/>
          <w:rtl/>
        </w:rPr>
        <w:t>.</w:t>
      </w:r>
      <w:r w:rsidRPr="00597AE6">
        <w:rPr>
          <w:rFonts w:cs="Arial"/>
          <w:sz w:val="40"/>
          <w:szCs w:val="40"/>
          <w:rtl/>
        </w:rPr>
        <w:t xml:space="preserve"> شهادة من دائرة مراقبة الشركات تفيد بأن الشركة لازالت قائمة. </w:t>
      </w:r>
    </w:p>
    <w:p w14:paraId="2B722B42" w14:textId="7093D146" w:rsidR="00597AE6" w:rsidRPr="00597AE6" w:rsidRDefault="00597AE6" w:rsidP="00597AE6">
      <w:pPr>
        <w:rPr>
          <w:sz w:val="40"/>
          <w:szCs w:val="40"/>
          <w:rtl/>
        </w:rPr>
      </w:pPr>
      <w:r w:rsidRPr="00597AE6">
        <w:rPr>
          <w:rFonts w:cs="Arial"/>
          <w:sz w:val="40"/>
          <w:szCs w:val="40"/>
          <w:rtl/>
        </w:rPr>
        <w:t>د. دفع رسوم التسجيل المقررة لدى الهيئة حسب الاصول.</w:t>
      </w:r>
    </w:p>
    <w:p w14:paraId="1372E368" w14:textId="71D06370" w:rsidR="00597AE6" w:rsidRPr="00597AE6" w:rsidRDefault="00597AE6" w:rsidP="00597AE6">
      <w:pPr>
        <w:rPr>
          <w:sz w:val="40"/>
          <w:szCs w:val="40"/>
        </w:rPr>
      </w:pPr>
    </w:p>
    <w:sectPr w:rsidR="00597AE6" w:rsidRPr="00597AE6"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3CB"/>
    <w:multiLevelType w:val="hybridMultilevel"/>
    <w:tmpl w:val="812CF544"/>
    <w:lvl w:ilvl="0" w:tplc="E2A8C6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E6"/>
    <w:rsid w:val="001C2426"/>
    <w:rsid w:val="00597AE6"/>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093E"/>
  <w15:chartTrackingRefBased/>
  <w15:docId w15:val="{A617AF92-0CB6-4DB1-8BAD-78DDE225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2024-09-17T09:59:00Z</dcterms:created>
  <dcterms:modified xsi:type="dcterms:W3CDTF">2024-09-17T10:04:00Z</dcterms:modified>
</cp:coreProperties>
</file>